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500AD">
      <w:pPr>
        <w:rPr>
          <w:rFonts w:hint="default"/>
          <w:b/>
          <w:bCs/>
          <w:lang w:val="fr-FR"/>
        </w:rPr>
      </w:pPr>
      <w:r>
        <w:rPr>
          <w:b/>
          <w:bCs/>
        </w:rPr>
        <w:t>Conseils lexicaux liés au racisme</w:t>
      </w:r>
      <w:r>
        <w:rPr>
          <w:rFonts w:hint="default"/>
          <w:b/>
          <w:bCs/>
          <w:lang w:val="fr-FR"/>
        </w:rPr>
        <w:t xml:space="preserve"> et quelques définitions</w:t>
      </w:r>
    </w:p>
    <w:p w14:paraId="3E47B621">
      <w:pPr>
        <w:rPr>
          <w:b/>
          <w:bCs/>
        </w:rPr>
      </w:pPr>
      <w:r>
        <w:rPr>
          <w:b/>
          <w:bCs/>
        </w:rPr>
        <w:t>L’origine et la couleur de peau :</w:t>
      </w:r>
    </w:p>
    <w:p w14:paraId="6022DC30">
      <w:pPr>
        <w:numPr>
          <w:ilvl w:val="0"/>
          <w:numId w:val="1"/>
        </w:numPr>
      </w:pPr>
      <w:r>
        <w:t xml:space="preserve">Si vous faites référence à l’origine ou à la couleur de peau d’une personne, assurez-vous que cette </w:t>
      </w:r>
      <w:r>
        <w:rPr>
          <w:b/>
          <w:bCs/>
        </w:rPr>
        <w:t>information est contextualisée</w:t>
      </w:r>
      <w:r>
        <w:t xml:space="preserve"> et strictement nécessaire à la compréhension du message. </w:t>
      </w:r>
    </w:p>
    <w:p w14:paraId="3466133A">
      <w:pPr>
        <w:numPr>
          <w:ilvl w:val="0"/>
          <w:numId w:val="1"/>
        </w:numPr>
      </w:pPr>
      <w:r>
        <w:t xml:space="preserve">Évitez d’utiliser des termes trop généraux qui peuvent être clivants et optez pour </w:t>
      </w:r>
      <w:r>
        <w:rPr>
          <w:b/>
          <w:bCs/>
        </w:rPr>
        <w:t>des termes précis</w:t>
      </w:r>
      <w:r>
        <w:t>. En cas de doute, et si c’est possible, demandez directement aux personnes concernées avec quels termes elles souhaitent être décrites. </w:t>
      </w:r>
    </w:p>
    <w:p w14:paraId="4AFC603A">
      <w:r>
        <w:t>Quelques exemples :</w:t>
      </w:r>
    </w:p>
    <w:p w14:paraId="4F0467D6">
      <w:pPr>
        <w:numPr>
          <w:ilvl w:val="0"/>
          <w:numId w:val="2"/>
        </w:numPr>
      </w:pPr>
      <w:r>
        <w:rPr>
          <w:i/>
          <w:iCs/>
        </w:rPr>
        <w:t>Un ministre d’origine marocaine (à la place de : un ministre issu de l’immigration) </w:t>
      </w:r>
    </w:p>
    <w:p w14:paraId="7710639E">
      <w:pPr>
        <w:numPr>
          <w:ilvl w:val="0"/>
          <w:numId w:val="2"/>
        </w:numPr>
      </w:pPr>
      <w:r>
        <w:rPr>
          <w:i/>
          <w:iCs/>
        </w:rPr>
        <w:t>Un travailleur nigérien (à la place de : un Africain)</w:t>
      </w:r>
    </w:p>
    <w:p w14:paraId="4ACA8D4C">
      <w:r>
        <w:rPr>
          <w:b/>
          <w:bCs/>
        </w:rPr>
        <w:t>Référence à la couleur noire : </w:t>
      </w:r>
    </w:p>
    <w:p w14:paraId="579B81D6">
      <w:r>
        <w:t>Évitez de faire référence à la couleur noire pour nommer des faits négatifs ou des activités illégales. Car cela risque d’être implicitement assimilé à la couleur de peau. Par exemple, parlez de "travail non déclaré" (à la place de travail au noir) ou de "marché parallèle/illégal" (à la place de marché au noir). </w:t>
      </w:r>
    </w:p>
    <w:p w14:paraId="03D0D7CC">
      <w:pPr>
        <w:rPr>
          <w:b/>
          <w:bCs/>
        </w:rPr>
      </w:pPr>
      <w:r>
        <w:rPr>
          <w:b/>
          <w:bCs/>
        </w:rPr>
        <w:t>Les termes géographiques : </w:t>
      </w:r>
    </w:p>
    <w:p w14:paraId="7DF3538B">
      <w:r>
        <w:t xml:space="preserve">Quand vous faites référence à une zone géographique, optez pour </w:t>
      </w:r>
      <w:r>
        <w:rPr>
          <w:b/>
          <w:bCs/>
        </w:rPr>
        <w:t>les noms exacts des continents</w:t>
      </w:r>
      <w:r>
        <w:t xml:space="preserve"> en évitant les terminologies approximatives et centrées sur l’Occident telles que Moyen / Proche / Extrême-Orient.</w:t>
      </w:r>
    </w:p>
    <w:p w14:paraId="7AD902AA">
      <w:r>
        <w:t>Quelques exemples :</w:t>
      </w:r>
    </w:p>
    <w:p w14:paraId="724827AB">
      <w:pPr>
        <w:numPr>
          <w:ilvl w:val="0"/>
          <w:numId w:val="3"/>
        </w:numPr>
      </w:pPr>
      <w:r>
        <w:rPr>
          <w:i/>
          <w:iCs/>
        </w:rPr>
        <w:t>Asie du Sud-Ouest (à la place de : Proche/Moyen-Orient)</w:t>
      </w:r>
    </w:p>
    <w:p w14:paraId="5526CB53">
      <w:pPr>
        <w:numPr>
          <w:ilvl w:val="0"/>
          <w:numId w:val="3"/>
        </w:numPr>
      </w:pPr>
      <w:r>
        <w:rPr>
          <w:i/>
          <w:iCs/>
        </w:rPr>
        <w:t>Asie-Pacifique (à la place de : Extrême-Orient)</w:t>
      </w:r>
    </w:p>
    <w:p w14:paraId="4C5300E6">
      <w:pPr>
        <w:numPr>
          <w:ilvl w:val="0"/>
          <w:numId w:val="3"/>
        </w:numPr>
      </w:pPr>
      <w:r>
        <w:rPr>
          <w:i/>
          <w:iCs/>
        </w:rPr>
        <w:t>Afrique sub-saharienne ( à la place de : Afrique noire, Continent noir)</w:t>
      </w:r>
    </w:p>
    <w:p w14:paraId="275657EA">
      <w:pPr>
        <w:numPr>
          <w:ilvl w:val="0"/>
          <w:numId w:val="3"/>
        </w:numPr>
      </w:pPr>
      <w:r>
        <w:rPr>
          <w:i/>
          <w:iCs/>
        </w:rPr>
        <w:t>Les Européens, les Nord-Américains, les Nord-Africains, etc. (à la place de : Les Occidentaux vs les Non-Occidentaux)</w:t>
      </w:r>
    </w:p>
    <w:tbl>
      <w:tblPr>
        <w:tblStyle w:val="15"/>
        <w:tblW w:w="0" w:type="auto"/>
        <w:tblCellSpacing w:w="15" w:type="dxa"/>
        <w:tblInd w:w="0" w:type="dxa"/>
        <w:tblLayout w:type="autofit"/>
        <w:tblCellMar>
          <w:top w:w="15" w:type="dxa"/>
          <w:left w:w="15" w:type="dxa"/>
          <w:bottom w:w="15" w:type="dxa"/>
          <w:right w:w="15" w:type="dxa"/>
        </w:tblCellMar>
      </w:tblPr>
      <w:tblGrid>
        <w:gridCol w:w="6526"/>
        <w:gridCol w:w="2636"/>
      </w:tblGrid>
      <w:tr w14:paraId="7BA1FC36">
        <w:tblPrEx>
          <w:tblCellMar>
            <w:top w:w="15" w:type="dxa"/>
            <w:left w:w="15" w:type="dxa"/>
            <w:bottom w:w="15" w:type="dxa"/>
            <w:right w:w="15" w:type="dxa"/>
          </w:tblCellMar>
        </w:tblPrEx>
        <w:trPr>
          <w:tblHeader/>
          <w:tblCellSpacing w:w="15" w:type="dxa"/>
        </w:trPr>
        <w:tc>
          <w:tcPr>
            <w:tcW w:w="0" w:type="auto"/>
            <w:vAlign w:val="center"/>
          </w:tcPr>
          <w:p w14:paraId="3677761D">
            <w:pPr>
              <w:rPr>
                <w:b/>
                <w:bCs/>
              </w:rPr>
            </w:pPr>
            <w:r>
              <w:rPr>
                <w:b/>
                <w:bCs/>
              </w:rPr>
              <w:t>Ce qu'on dit</w:t>
            </w:r>
          </w:p>
        </w:tc>
        <w:tc>
          <w:tcPr>
            <w:tcW w:w="0" w:type="auto"/>
            <w:vAlign w:val="center"/>
          </w:tcPr>
          <w:p w14:paraId="1FFB02AA">
            <w:pPr>
              <w:rPr>
                <w:b/>
                <w:bCs/>
              </w:rPr>
            </w:pPr>
            <w:r>
              <w:rPr>
                <w:b/>
                <w:bCs/>
              </w:rPr>
              <w:t>Ce qu'on ne dit pas</w:t>
            </w:r>
          </w:p>
        </w:tc>
      </w:tr>
      <w:tr w14:paraId="75839DC8">
        <w:tblPrEx>
          <w:tblCellMar>
            <w:top w:w="15" w:type="dxa"/>
            <w:left w:w="15" w:type="dxa"/>
            <w:bottom w:w="15" w:type="dxa"/>
            <w:right w:w="15" w:type="dxa"/>
          </w:tblCellMar>
        </w:tblPrEx>
        <w:trPr>
          <w:tblCellSpacing w:w="15" w:type="dxa"/>
        </w:trPr>
        <w:tc>
          <w:tcPr>
            <w:tcW w:w="0" w:type="auto"/>
            <w:vAlign w:val="center"/>
          </w:tcPr>
          <w:p w14:paraId="10559643">
            <w:r>
              <w:rPr>
                <w:b/>
                <w:bCs/>
              </w:rPr>
              <w:t>Personne noire, personne blanche, personne d’origine subsaharienne, personne afrodescendante</w:t>
            </w:r>
          </w:p>
        </w:tc>
        <w:tc>
          <w:tcPr>
            <w:tcW w:w="0" w:type="auto"/>
            <w:vAlign w:val="center"/>
          </w:tcPr>
          <w:p w14:paraId="3E723885">
            <w:r>
              <w:t>Un Noir, un Blanc, un non Blanc, un Nègre, un Black</w:t>
            </w:r>
          </w:p>
          <w:p w14:paraId="3EEF184A">
            <w:r>
              <w:t> </w:t>
            </w:r>
          </w:p>
        </w:tc>
      </w:tr>
      <w:tr w14:paraId="0D98A8DD">
        <w:tblPrEx>
          <w:tblCellMar>
            <w:top w:w="15" w:type="dxa"/>
            <w:left w:w="15" w:type="dxa"/>
            <w:bottom w:w="15" w:type="dxa"/>
            <w:right w:w="15" w:type="dxa"/>
          </w:tblCellMar>
        </w:tblPrEx>
        <w:trPr>
          <w:tblCellSpacing w:w="15" w:type="dxa"/>
        </w:trPr>
        <w:tc>
          <w:tcPr>
            <w:tcW w:w="0" w:type="auto"/>
            <w:vAlign w:val="center"/>
          </w:tcPr>
          <w:p w14:paraId="5548E5C2">
            <w:r>
              <w:rPr>
                <w:b/>
                <w:bCs/>
              </w:rPr>
              <w:t>Migrant, personne avec un parcours migratoire, primo-arrivant, personne qui n’a pas les « bons » papiers, réfugié politique, demandeur d’asile</w:t>
            </w:r>
          </w:p>
        </w:tc>
        <w:tc>
          <w:tcPr>
            <w:tcW w:w="0" w:type="auto"/>
            <w:vAlign w:val="center"/>
          </w:tcPr>
          <w:p w14:paraId="68A33717">
            <w:r>
              <w:t>Un immigré, un illégal, un étranger</w:t>
            </w:r>
          </w:p>
          <w:p w14:paraId="5885519C">
            <w:r>
              <w:t> </w:t>
            </w:r>
          </w:p>
        </w:tc>
      </w:tr>
      <w:tr w14:paraId="4D5D7CCF">
        <w:tblPrEx>
          <w:tblCellMar>
            <w:top w:w="15" w:type="dxa"/>
            <w:left w:w="15" w:type="dxa"/>
            <w:bottom w:w="15" w:type="dxa"/>
            <w:right w:w="15" w:type="dxa"/>
          </w:tblCellMar>
        </w:tblPrEx>
        <w:trPr>
          <w:tblCellSpacing w:w="15" w:type="dxa"/>
        </w:trPr>
        <w:tc>
          <w:tcPr>
            <w:tcW w:w="0" w:type="auto"/>
            <w:vAlign w:val="center"/>
          </w:tcPr>
          <w:p w14:paraId="3492DBEF">
            <w:r>
              <w:rPr>
                <w:b/>
                <w:bCs/>
              </w:rPr>
              <w:t>Personne métisse</w:t>
            </w:r>
          </w:p>
        </w:tc>
        <w:tc>
          <w:tcPr>
            <w:tcW w:w="0" w:type="auto"/>
            <w:vAlign w:val="center"/>
          </w:tcPr>
          <w:p w14:paraId="010C3BC4">
            <w:r>
              <w:t>Mulâtre, Sang-mêlé, Métèque  </w:t>
            </w:r>
          </w:p>
        </w:tc>
      </w:tr>
    </w:tbl>
    <w:p w14:paraId="7F98073B"/>
    <w:p w14:paraId="1360263C"/>
    <w:p w14:paraId="00B1DC3C">
      <w:pPr>
        <w:jc w:val="center"/>
        <w:rPr>
          <w:rFonts w:hint="default"/>
          <w:b/>
          <w:bCs/>
          <w:sz w:val="36"/>
          <w:szCs w:val="36"/>
          <w:lang w:val="fr-FR"/>
        </w:rPr>
      </w:pPr>
      <w:r>
        <w:rPr>
          <w:rFonts w:hint="default"/>
          <w:b/>
          <w:bCs/>
          <w:sz w:val="36"/>
          <w:szCs w:val="36"/>
          <w:lang w:val="fr-FR"/>
        </w:rPr>
        <w:t>Définitions</w:t>
      </w:r>
    </w:p>
    <w:p w14:paraId="3B9324AB">
      <w:pPr>
        <w:jc w:val="center"/>
        <w:rPr>
          <w:rFonts w:hint="default"/>
          <w:b/>
          <w:bCs/>
          <w:sz w:val="36"/>
          <w:szCs w:val="36"/>
          <w:lang w:val="fr-FR"/>
        </w:rPr>
      </w:pPr>
      <w:bookmarkStart w:id="0" w:name="_GoBack"/>
      <w:bookmarkEnd w:id="0"/>
    </w:p>
    <w:p w14:paraId="6F648FB8">
      <w:pPr>
        <w:jc w:val="center"/>
        <w:rPr>
          <w:rFonts w:hint="default"/>
        </w:rPr>
      </w:pPr>
      <w:r>
        <w:drawing>
          <wp:inline distT="0" distB="0" distL="114300" distR="114300">
            <wp:extent cx="3323590" cy="2492375"/>
            <wp:effectExtent l="0" t="0" r="3810" b="9525"/>
            <wp:docPr id="4" name="Image 3" descr="Une image contenant dessin, croquis, clipart, illustra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descr="Une image contenant dessin, croquis, clipart, illustration&#10;&#10;Le contenu généré par l’IA peut être incorrect."/>
                    <pic:cNvPicPr>
                      <a:picLocks noChangeAspect="1"/>
                    </pic:cNvPicPr>
                  </pic:nvPicPr>
                  <pic:blipFill>
                    <a:blip r:embed="rId6">
                      <a:extLst>
                        <a:ext uri="{28A0092B-C50C-407E-A947-70E740481C1C}">
                          <a14:useLocalDpi xmlns:a14="http://schemas.microsoft.com/office/drawing/2010/main" val="0"/>
                        </a:ext>
                      </a:extLst>
                    </a:blip>
                    <a:srcRect l="3869" t="4282" r="6102"/>
                    <a:stretch>
                      <a:fillRect/>
                    </a:stretch>
                  </pic:blipFill>
                  <pic:spPr>
                    <a:xfrm>
                      <a:off x="0" y="0"/>
                      <a:ext cx="3323590" cy="2492375"/>
                    </a:xfrm>
                    <a:prstGeom prst="rect">
                      <a:avLst/>
                    </a:prstGeom>
                    <a:noFill/>
                    <a:ln>
                      <a:noFill/>
                    </a:ln>
                  </pic:spPr>
                </pic:pic>
              </a:graphicData>
            </a:graphic>
          </wp:inline>
        </w:drawing>
      </w:r>
    </w:p>
    <w:p w14:paraId="3407E2B9">
      <w:pPr>
        <w:rPr>
          <w:rFonts w:hint="default"/>
        </w:rPr>
      </w:pPr>
    </w:p>
    <w:p w14:paraId="421E91D3">
      <w:pPr>
        <w:rPr>
          <w:rFonts w:hint="default"/>
          <w:b/>
          <w:bCs/>
        </w:rPr>
      </w:pPr>
      <w:r>
        <w:rPr>
          <w:rFonts w:hint="default"/>
          <w:b/>
          <w:bCs/>
        </w:rPr>
        <w:t>Racisme</w:t>
      </w:r>
    </w:p>
    <w:p w14:paraId="321D3C36">
      <w:pPr>
        <w:rPr>
          <w:rFonts w:hint="default"/>
        </w:rPr>
      </w:pPr>
      <w:r>
        <w:rPr>
          <w:rFonts w:hint="default"/>
        </w:rPr>
        <w:t xml:space="preserve">« La race n’existe pas, au sens biologique du terme, mais elle existe socialement en tant que régime de pouvoir, … nier l’existence de la race pour contrer la croyance en des hiérarchies naturelles nous empêche de lutter contre l’efficacité sociale persistante des catégorisations raciales, la négation de la race dans son ensemble produit donc de fait ce déni de ses effets sociaux, c.-à-d. celui des processus sociaux de racialisation et des discriminations qui peuvent en résulter. » SARAH MAZOUZ </w:t>
      </w:r>
    </w:p>
    <w:p w14:paraId="7FD75841">
      <w:pPr>
        <w:rPr>
          <w:rFonts w:hint="default"/>
        </w:rPr>
      </w:pPr>
    </w:p>
    <w:p w14:paraId="3C7C4DB6">
      <w:pPr>
        <w:rPr>
          <w:rFonts w:hint="default"/>
          <w:b/>
          <w:bCs/>
          <w:sz w:val="28"/>
          <w:szCs w:val="28"/>
        </w:rPr>
      </w:pPr>
      <w:r>
        <w:rPr>
          <w:rFonts w:hint="default"/>
          <w:b/>
          <w:bCs/>
          <w:sz w:val="28"/>
          <w:szCs w:val="28"/>
        </w:rPr>
        <w:t>Racisme</w:t>
      </w:r>
    </w:p>
    <w:p w14:paraId="0CD2B138">
      <w:pPr>
        <w:numPr>
          <w:ilvl w:val="0"/>
          <w:numId w:val="4"/>
        </w:numPr>
        <w:ind w:left="420" w:leftChars="0" w:hanging="420" w:firstLineChars="0"/>
        <w:rPr>
          <w:rFonts w:hint="default"/>
        </w:rPr>
      </w:pPr>
      <w:r>
        <w:rPr>
          <w:rFonts w:hint="default"/>
        </w:rPr>
        <w:t>Convention des Nations Unies sur l’élimination de toutes les formes de discrimination raciale (1965).</w:t>
      </w:r>
    </w:p>
    <w:p w14:paraId="0C404B89">
      <w:pPr>
        <w:numPr>
          <w:ilvl w:val="0"/>
          <w:numId w:val="4"/>
        </w:numPr>
        <w:ind w:left="420" w:leftChars="0" w:hanging="420" w:firstLineChars="0"/>
        <w:rPr>
          <w:rFonts w:hint="default"/>
        </w:rPr>
      </w:pPr>
      <w:r>
        <w:rPr>
          <w:rFonts w:hint="default"/>
        </w:rPr>
        <w:t>Vision d’Arendt et Césaire (années 50): rôle décisif de la colonisation dans l’élaboration et la diffusion des idées et pratiques racistes. -&gt; valladolide</w:t>
      </w:r>
    </w:p>
    <w:p w14:paraId="698895E6">
      <w:pPr>
        <w:numPr>
          <w:ilvl w:val="0"/>
          <w:numId w:val="4"/>
        </w:numPr>
        <w:ind w:left="420" w:leftChars="0" w:hanging="420" w:firstLineChars="0"/>
        <w:rPr>
          <w:rFonts w:hint="default"/>
        </w:rPr>
      </w:pPr>
      <w:r>
        <w:rPr>
          <w:rFonts w:hint="default"/>
        </w:rPr>
        <w:t xml:space="preserve">UNIA: racisme implique une pensée de supériorité selon laquelle une prétendue race est meilleure qu'une autre. </w:t>
      </w:r>
    </w:p>
    <w:p w14:paraId="2364B370">
      <w:pPr>
        <w:rPr>
          <w:rFonts w:hint="default"/>
        </w:rPr>
      </w:pPr>
    </w:p>
    <w:p w14:paraId="5ED555BB">
      <w:pPr>
        <w:rPr>
          <w:rFonts w:hint="default"/>
          <w:b/>
          <w:bCs/>
          <w:sz w:val="24"/>
          <w:szCs w:val="24"/>
        </w:rPr>
      </w:pPr>
      <w:r>
        <w:rPr>
          <w:rFonts w:hint="default"/>
          <w:b/>
          <w:bCs/>
          <w:sz w:val="24"/>
          <w:szCs w:val="24"/>
        </w:rPr>
        <w:t>Plusieurs sortes de racisme:</w:t>
      </w:r>
    </w:p>
    <w:p w14:paraId="35087F22">
      <w:pPr>
        <w:rPr>
          <w:rFonts w:hint="default"/>
        </w:rPr>
      </w:pPr>
      <w:r>
        <w:rPr>
          <w:rFonts w:hint="default"/>
        </w:rPr>
        <w:t>Racisme interpersonnel</w:t>
      </w:r>
    </w:p>
    <w:p w14:paraId="6DDD5787">
      <w:pPr>
        <w:rPr>
          <w:rFonts w:hint="default"/>
        </w:rPr>
      </w:pPr>
      <w:r>
        <w:rPr>
          <w:rFonts w:hint="default"/>
        </w:rPr>
        <w:t>Racisme institutionnel</w:t>
      </w:r>
    </w:p>
    <w:p w14:paraId="7A58336E">
      <w:pPr>
        <w:rPr>
          <w:rFonts w:hint="default"/>
        </w:rPr>
      </w:pPr>
      <w:r>
        <w:rPr>
          <w:rFonts w:hint="default"/>
        </w:rPr>
        <w:t xml:space="preserve">Racisme systémique </w:t>
      </w:r>
    </w:p>
    <w:p w14:paraId="6FD7D3C2">
      <w:pPr>
        <w:rPr>
          <w:rFonts w:hint="default"/>
        </w:rPr>
      </w:pPr>
    </w:p>
    <w:p w14:paraId="59DDFA18">
      <w:pPr>
        <w:rPr>
          <w:rFonts w:hint="default"/>
        </w:rPr>
      </w:pPr>
      <w:r>
        <w:rPr>
          <w:rFonts w:hint="default"/>
          <w:b/>
          <w:bCs/>
        </w:rPr>
        <w:t>Le racisme interpersonnel</w:t>
      </w:r>
      <w:r>
        <w:rPr>
          <w:rFonts w:hint="default"/>
        </w:rPr>
        <w:t xml:space="preserve"> désigne les interactions préjudiciables entre individus, qui peuvent inclure des insultes raciales, des commentaires négatifs, ou des actes de discrimination motivés par l'origine ethnique ou la couleur de peau.</w:t>
      </w:r>
    </w:p>
    <w:p w14:paraId="570628E1">
      <w:pPr>
        <w:rPr>
          <w:rFonts w:hint="default"/>
        </w:rPr>
      </w:pPr>
    </w:p>
    <w:p w14:paraId="431C33B6">
      <w:pPr>
        <w:rPr>
          <w:rFonts w:hint="default"/>
        </w:rPr>
      </w:pPr>
    </w:p>
    <w:p w14:paraId="137D17DC">
      <w:pPr>
        <w:rPr>
          <w:rFonts w:hint="default"/>
        </w:rPr>
      </w:pPr>
      <w:r>
        <w:rPr>
          <w:rFonts w:hint="default"/>
          <w:b/>
          <w:bCs/>
        </w:rPr>
        <w:t>Le racisme institutionnel</w:t>
      </w:r>
      <w:r>
        <w:rPr>
          <w:rFonts w:hint="default"/>
        </w:rPr>
        <w:t xml:space="preserve"> recèle souvent des attitudes individuelles auxquelles l’organisation ne réagit pas sérieusement, comme une discrimination exercée lors de l’embauche, fondée sur les préférences de l’employeur. Il comprend aussi les politiques et pratiques de l’organisation qui crée à son propre insu une situation désavantageuse, directement ou non, pour les minorités raciales.</w:t>
      </w:r>
    </w:p>
    <w:p w14:paraId="50941C33">
      <w:pPr>
        <w:rPr>
          <w:rFonts w:hint="default"/>
        </w:rPr>
      </w:pPr>
    </w:p>
    <w:p w14:paraId="3ACD8058">
      <w:pPr>
        <w:rPr>
          <w:rFonts w:hint="default"/>
        </w:rPr>
      </w:pPr>
      <w:r>
        <w:rPr>
          <w:rFonts w:hint="default"/>
          <w:b/>
          <w:bCs/>
        </w:rPr>
        <w:t>Le racisme systémique</w:t>
      </w:r>
      <w:r>
        <w:rPr>
          <w:rFonts w:hint="default"/>
        </w:rPr>
        <w:t xml:space="preserve"> est véhiculé par les politiques, pratiques et procédures d’une structure institutionnelle. Il peut, directement ou non, consciemment ou non, favoriser, maintenir ou renforcer les avantages particuliers ou les privilèges accordés aux personnes d’une certaine race.</w:t>
      </w:r>
    </w:p>
    <w:p w14:paraId="5D81975A">
      <w:pPr>
        <w:rPr>
          <w:rFonts w:hint="default"/>
        </w:rPr>
      </w:pPr>
    </w:p>
    <w:p w14:paraId="7F6E3231">
      <w:pPr>
        <w:rPr>
          <w:rFonts w:hint="default"/>
        </w:rPr>
      </w:pPr>
      <w:r>
        <w:rPr>
          <w:rFonts w:hint="default"/>
          <w:b/>
          <w:bCs/>
        </w:rPr>
        <w:t>Racialisé/racialisation</w:t>
      </w:r>
      <w:r>
        <w:rPr>
          <w:rFonts w:hint="default"/>
        </w:rPr>
        <w:t> : personne qui appartient, de manière réelle ou supposée, à un des groupes ayant subi un processus de racisation. La racisation est un processus politique, social et mental d’altérisation (cf. Ligue des droits).</w:t>
      </w:r>
      <w:r>
        <w:rPr>
          <w:rFonts w:hint="default"/>
        </w:rPr>
        <w:br w:type="textWrapping"/>
      </w:r>
    </w:p>
    <w:p w14:paraId="34038A11">
      <w:pPr>
        <w:rPr>
          <w:rFonts w:hint="default"/>
        </w:rPr>
      </w:pPr>
      <w:r>
        <w:rPr>
          <w:rFonts w:hint="default"/>
          <w:b/>
          <w:bCs/>
        </w:rPr>
        <w:t>Racisé</w:t>
      </w:r>
      <w:r>
        <w:rPr>
          <w:rFonts w:hint="default"/>
        </w:rPr>
        <w:t> : personne ou une population « touchée par le racisme » ou, dans une société majoritairement blanche, « qui n’a pas la peau blanche, sans égard au lieu de naissance ou à la citoyenneté » (cf. Gouv. Québécois).</w:t>
      </w:r>
      <w:r>
        <w:rPr>
          <w:rFonts w:hint="default"/>
        </w:rPr>
        <w:br w:type="textWrapping"/>
      </w:r>
    </w:p>
    <w:p w14:paraId="259792E0">
      <w:pPr>
        <w:rPr>
          <w:rFonts w:hint="default"/>
        </w:rPr>
      </w:pPr>
      <w:r>
        <w:rPr>
          <w:rFonts w:hint="default"/>
          <w:b/>
          <w:bCs/>
        </w:rPr>
        <w:t>Privilège blanc</w:t>
      </w:r>
      <w:r>
        <w:rPr>
          <w:rFonts w:hint="default"/>
        </w:rPr>
        <w:t> : Notion de privilège: droit, avantage particulier accordé à un individu ou à une collectivité, en dehors de la loi commune.</w:t>
      </w:r>
      <w:r>
        <w:rPr>
          <w:rFonts w:hint="default"/>
        </w:rPr>
        <w:br w:type="textWrapping"/>
      </w:r>
      <w:r>
        <w:rPr>
          <w:rFonts w:hint="default"/>
        </w:rPr>
        <w:t>On ne vise donc pas à accuser les personnes blanches d’être blanches, mais plutôt à souligner les privilèges dont elles disposent dans un monde où le racisme systèmique* prévaut [2]. </w:t>
      </w:r>
    </w:p>
    <w:p w14:paraId="5BDFC285">
      <w:pPr>
        <w:rPr>
          <w:rFonts w:hint="default"/>
        </w:rPr>
      </w:pPr>
      <w:r>
        <w:rPr>
          <w:rFonts w:hint="default"/>
        </w:rPr>
        <w:t xml:space="preserve">Les privilèges blancs, "c'est la face passive du racisme, Ils tissent un lien asymétrique entre pouvoir et oppression. Imaginez-les comme deux faces d'une même pièce : le premier octroie des avantages, tandis que le second érige des barrières."Estelle Depris </w:t>
      </w:r>
    </w:p>
    <w:p w14:paraId="0C4862E0">
      <w:pPr>
        <w:rPr>
          <w:rFonts w:hint="default"/>
        </w:rPr>
      </w:pPr>
      <w:r>
        <w:rPr>
          <w:rFonts w:hint="default"/>
        </w:rPr>
        <w:t>Cf. Racism Search – Débat et histoire aux US (ex. Rosa Parks, Martin Luther King).</w:t>
      </w:r>
    </w:p>
    <w:p w14:paraId="0FB03666">
      <w:pPr>
        <w:rPr>
          <w:rFonts w:hint="default"/>
        </w:rPr>
      </w:pPr>
    </w:p>
    <w:p w14:paraId="569D18B7">
      <w:pPr>
        <w:rPr>
          <w:rFonts w:hint="default"/>
        </w:rPr>
      </w:pPr>
      <w:r>
        <w:rPr>
          <w:rFonts w:hint="default"/>
          <w:b/>
          <w:bCs/>
        </w:rPr>
        <w:t>Antisémitisme </w:t>
      </w:r>
      <w:r>
        <w:rPr>
          <w:rFonts w:hint="default"/>
        </w:rPr>
        <w:t>: se réfère à la caractéristique protégée « ascendance », plus particulièrement « ascendance juive ». LAR</w:t>
      </w:r>
    </w:p>
    <w:p w14:paraId="63AA4C3E">
      <w:pPr>
        <w:rPr>
          <w:rFonts w:hint="default"/>
        </w:rPr>
      </w:pPr>
      <w:r>
        <w:rPr>
          <w:rFonts w:hint="default"/>
          <w:b/>
          <w:bCs/>
        </w:rPr>
        <w:t>Islamophobie </w:t>
      </w:r>
      <w:r>
        <w:rPr>
          <w:rFonts w:hint="default"/>
        </w:rPr>
        <w:t xml:space="preserve">: se réfère au à la caractéristique protégée des "convictions religieuses"LAD et matériellement à la caractéristique  de "l'origine ethnique". Elle touche toutes les personnes perçues comme musulmanes. </w:t>
      </w:r>
    </w:p>
    <w:p w14:paraId="458CE239">
      <w:pPr>
        <w:rPr>
          <w:rFonts w:hint="default"/>
        </w:rPr>
      </w:pPr>
      <w:r>
        <w:rPr>
          <w:rFonts w:hint="default"/>
          <w:b/>
          <w:bCs/>
        </w:rPr>
        <w:t>Racisme antinoir</w:t>
      </w:r>
      <w:r>
        <w:rPr>
          <w:rFonts w:hint="default"/>
        </w:rPr>
        <w:t> : se réfère à la caractéristique protégée « couleur de peau » et plus spécifiquement aux personnes noires. LAR</w:t>
      </w:r>
    </w:p>
    <w:p w14:paraId="2D298FAB">
      <w:pPr>
        <w:rPr>
          <w:rFonts w:hint="default"/>
        </w:rPr>
      </w:pPr>
      <w:r>
        <w:rPr>
          <w:rFonts w:hint="default"/>
          <w:b/>
          <w:bCs/>
        </w:rPr>
        <w:t>Haine des Roms</w:t>
      </w:r>
      <w:r>
        <w:rPr>
          <w:rFonts w:hint="default"/>
        </w:rPr>
        <w:t> : se réfère à la caractéristique protégée « origine ethnique » et vise les Roms et les gens du voyage. LAR</w:t>
      </w:r>
    </w:p>
    <w:p w14:paraId="45510D94">
      <w:pPr>
        <w:rPr>
          <w:rFonts w:hint="default"/>
        </w:rPr>
      </w:pPr>
      <w:r>
        <w:rPr>
          <w:rFonts w:hint="default"/>
          <w:b/>
          <w:bCs/>
        </w:rPr>
        <w:t>Racisme anti-asiatique</w:t>
      </w:r>
      <w:r>
        <w:rPr>
          <w:rFonts w:hint="default"/>
        </w:rPr>
        <w:t> : se réfère à la caractéristique protégée « origine nationale » et plus spécifiquement à l’origine asiatique. LAR</w:t>
      </w:r>
    </w:p>
    <w:p w14:paraId="4B798FA7">
      <w:pPr>
        <w:rPr>
          <w:rFonts w:hint="default"/>
        </w:rPr>
      </w:pPr>
      <w:r>
        <w:rPr>
          <w:rFonts w:hint="default"/>
          <w:b/>
          <w:bCs/>
        </w:rPr>
        <w:t xml:space="preserve"> Xénophobie</w:t>
      </w:r>
      <w:r>
        <w:rPr>
          <w:rFonts w:hint="default"/>
        </w:rPr>
        <w:t xml:space="preserve">  : désigne la peur envers tout ce qui est étranger et envers les personnes qui ont d’autres racines. Il n'y pas, à l'instar du racisme de hiérarchisation, consciente ou inconsciente. </w:t>
      </w:r>
    </w:p>
    <w:p w14:paraId="1E5B99E1"/>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imSun"/>
    <w:panose1 w:val="00000000000000000000"/>
    <w:charset w:val="86"/>
    <w:family w:val="swiss"/>
    <w:pitch w:val="default"/>
    <w:sig w:usb0="00000000" w:usb1="00000000" w:usb2="00000000" w:usb3="00000000" w:csb0="0000019F" w:csb1="00000000"/>
  </w:font>
  <w:font w:name="Aptos">
    <w:altName w:val="Segoe Print"/>
    <w:panose1 w:val="00000000000000000000"/>
    <w:charset w:val="00"/>
    <w:family w:val="auto"/>
    <w:pitch w:val="default"/>
    <w:sig w:usb0="00000000" w:usb1="00000000" w:usb2="00000000" w:usb3="00000000" w:csb0="00000000" w:csb1="00000000"/>
  </w:font>
  <w:font w:name="Aptos Display">
    <w:altName w:val="Segoe Print"/>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等线">
    <w:altName w:val="Microsoft YaHe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8B6D09"/>
    <w:multiLevelType w:val="singleLevel"/>
    <w:tmpl w:val="9D8B6D09"/>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20FB76A5"/>
    <w:multiLevelType w:val="multilevel"/>
    <w:tmpl w:val="20FB76A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6C5671AA"/>
    <w:multiLevelType w:val="multilevel"/>
    <w:tmpl w:val="6C5671A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7E6D6296"/>
    <w:multiLevelType w:val="multilevel"/>
    <w:tmpl w:val="7E6D629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09B"/>
    <w:rsid w:val="000A67D6"/>
    <w:rsid w:val="004957B4"/>
    <w:rsid w:val="0056709B"/>
    <w:rsid w:val="006E5853"/>
    <w:rsid w:val="00735907"/>
    <w:rsid w:val="00C0763B"/>
    <w:rsid w:val="0C7735A4"/>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fr-BE"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character" w:styleId="12">
    <w:name w:val="Hyperlink"/>
    <w:basedOn w:val="11"/>
    <w:unhideWhenUsed/>
    <w:qFormat/>
    <w:uiPriority w:val="99"/>
    <w:rPr>
      <w:color w:val="467886" w:themeColor="hyperlink"/>
      <w:u w:val="single"/>
      <w14:textFill>
        <w14:solidFill>
          <w14:schemeClr w14:val="hlink"/>
        </w14:solidFill>
      </w14:textFill>
    </w:rPr>
  </w:style>
  <w:style w:type="paragraph" w:styleId="13">
    <w:name w:val="Subtitle"/>
    <w:basedOn w:val="1"/>
    <w:next w:val="1"/>
    <w:link w:val="2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Titre 1 C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Titre 2 C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Titre 3 Car"/>
    <w:basedOn w:val="11"/>
    <w:link w:val="4"/>
    <w:semiHidden/>
    <w:uiPriority w:val="9"/>
    <w:rPr>
      <w:rFonts w:eastAsiaTheme="majorEastAsia" w:cstheme="majorBidi"/>
      <w:color w:val="104862" w:themeColor="accent1" w:themeShade="BF"/>
      <w:sz w:val="28"/>
      <w:szCs w:val="28"/>
    </w:rPr>
  </w:style>
  <w:style w:type="character" w:customStyle="1" w:styleId="19">
    <w:name w:val="Titre 4 Car"/>
    <w:basedOn w:val="11"/>
    <w:link w:val="5"/>
    <w:semiHidden/>
    <w:uiPriority w:val="9"/>
    <w:rPr>
      <w:rFonts w:eastAsiaTheme="majorEastAsia" w:cstheme="majorBidi"/>
      <w:i/>
      <w:iCs/>
      <w:color w:val="104862" w:themeColor="accent1" w:themeShade="BF"/>
    </w:rPr>
  </w:style>
  <w:style w:type="character" w:customStyle="1" w:styleId="20">
    <w:name w:val="Titre 5 Car"/>
    <w:basedOn w:val="11"/>
    <w:link w:val="6"/>
    <w:semiHidden/>
    <w:uiPriority w:val="9"/>
    <w:rPr>
      <w:rFonts w:eastAsiaTheme="majorEastAsia" w:cstheme="majorBidi"/>
      <w:color w:val="104862" w:themeColor="accent1" w:themeShade="BF"/>
    </w:rPr>
  </w:style>
  <w:style w:type="character" w:customStyle="1" w:styleId="21">
    <w:name w:val="Titre 6 C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Titre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Titre 8 C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Titre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re Car"/>
    <w:basedOn w:val="11"/>
    <w:link w:val="14"/>
    <w:qFormat/>
    <w:uiPriority w:val="10"/>
    <w:rPr>
      <w:rFonts w:asciiTheme="majorHAnsi" w:hAnsiTheme="majorHAnsi" w:eastAsiaTheme="majorEastAsia" w:cstheme="majorBidi"/>
      <w:spacing w:val="-10"/>
      <w:kern w:val="28"/>
      <w:sz w:val="56"/>
      <w:szCs w:val="56"/>
    </w:rPr>
  </w:style>
  <w:style w:type="character" w:customStyle="1" w:styleId="26">
    <w:name w:val="Sous-titre Car"/>
    <w:basedOn w:val="11"/>
    <w:link w:val="13"/>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Citation Car"/>
    <w:basedOn w:val="11"/>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Citation intense Car"/>
    <w:basedOn w:val="11"/>
    <w:link w:val="31"/>
    <w:uiPriority w:val="30"/>
    <w:rPr>
      <w:i/>
      <w:iCs/>
      <w:color w:val="104862" w:themeColor="accent1" w:themeShade="BF"/>
    </w:rPr>
  </w:style>
  <w:style w:type="character" w:customStyle="1" w:styleId="33">
    <w:name w:val="Intense Reference"/>
    <w:basedOn w:val="11"/>
    <w:qFormat/>
    <w:uiPriority w:val="32"/>
    <w:rPr>
      <w:b/>
      <w:bCs/>
      <w:smallCaps/>
      <w:color w:val="104862" w:themeColor="accent1" w:themeShade="BF"/>
      <w:spacing w:val="5"/>
    </w:rPr>
  </w:style>
  <w:style w:type="character" w:customStyle="1" w:styleId="34">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302</Words>
  <Characters>1664</Characters>
  <Lines>13</Lines>
  <Paragraphs>3</Paragraphs>
  <TotalTime>1</TotalTime>
  <ScaleCrop>false</ScaleCrop>
  <LinksUpToDate>false</LinksUpToDate>
  <CharactersWithSpaces>1963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2025-10-23T10:21:00Z</dcterms:created>
  <dc:creator>Dorothée Bouillon - Education permanente - FMM</dc:creator>
  <cp:lastModifiedBy>dorotheeb</cp:lastModifiedBy>
  <cp:lastPrinted>2025-10-23T10:21:00Z</cp:lastPrinted>
  <dcterms:modified xsi:type="dcterms:W3CDTF">2026-03-12T16:32:49Z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BCFDB124C92C402EBFF6255FAF3D5FAF_13</vt:lpwstr>
  </property>
</Properties>
</file>